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340" w:rsidRDefault="00183340" w:rsidP="00183340">
      <w:pPr>
        <w:jc w:val="center"/>
      </w:pPr>
      <w:r w:rsidRPr="00183340">
        <w:rPr>
          <w:b/>
        </w:rPr>
        <w:t>TABELA 1:</w:t>
      </w:r>
      <w:r>
        <w:t xml:space="preserve"> Critérios de Diagnóstico do TEA (usados na avaliação dos pacientes pela neuropediatra do CENEP-HC)</w:t>
      </w:r>
    </w:p>
    <w:tbl>
      <w:tblPr>
        <w:tblStyle w:val="Tabelacomgrade"/>
        <w:tblW w:w="9737" w:type="dxa"/>
        <w:tblLook w:val="0420" w:firstRow="1" w:lastRow="0" w:firstColumn="0" w:lastColumn="0" w:noHBand="0" w:noVBand="1"/>
      </w:tblPr>
      <w:tblGrid>
        <w:gridCol w:w="4257"/>
        <w:gridCol w:w="5480"/>
      </w:tblGrid>
      <w:tr w:rsidR="00183340" w:rsidRPr="00131199" w:rsidTr="007C0985">
        <w:trPr>
          <w:trHeight w:val="524"/>
        </w:trPr>
        <w:tc>
          <w:tcPr>
            <w:tcW w:w="4257" w:type="dxa"/>
            <w:vMerge w:val="restart"/>
            <w:hideMark/>
          </w:tcPr>
          <w:p w:rsidR="00183340" w:rsidRPr="00131199" w:rsidRDefault="00183340" w:rsidP="007C0985">
            <w:pPr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131199">
              <w:rPr>
                <w:rFonts w:ascii="Candara" w:eastAsia="Times New Roman" w:hAnsi="Candara" w:cs="Arial"/>
                <w:color w:val="000000" w:themeColor="dark1"/>
                <w:kern w:val="24"/>
                <w:sz w:val="20"/>
                <w:szCs w:val="20"/>
                <w:lang w:eastAsia="pt-BR"/>
              </w:rPr>
              <w:t>A.</w:t>
            </w:r>
            <w:r w:rsidRPr="00131199">
              <w:rPr>
                <w:rFonts w:ascii="Candara" w:eastAsia="Times New Roman" w:hAnsi="Candara" w:cs="Arial"/>
                <w:color w:val="000000" w:themeColor="dark1"/>
                <w:kern w:val="24"/>
                <w:sz w:val="12"/>
                <w:szCs w:val="12"/>
                <w:lang w:eastAsia="pt-BR"/>
              </w:rPr>
              <w:t xml:space="preserve">    </w:t>
            </w:r>
            <w:r w:rsidRPr="00131199">
              <w:rPr>
                <w:rFonts w:ascii="Candara" w:eastAsia="Times New Roman" w:hAnsi="Candara" w:cs="Arial"/>
                <w:color w:val="000000" w:themeColor="dark1"/>
                <w:kern w:val="24"/>
                <w:sz w:val="20"/>
                <w:szCs w:val="20"/>
                <w:lang w:eastAsia="pt-BR"/>
              </w:rPr>
              <w:t>Défices persistentes na comunicação social e interação social em vários contextos:</w:t>
            </w:r>
          </w:p>
        </w:tc>
        <w:tc>
          <w:tcPr>
            <w:tcW w:w="5480" w:type="dxa"/>
            <w:hideMark/>
          </w:tcPr>
          <w:p w:rsidR="00183340" w:rsidRPr="00131199" w:rsidRDefault="00183340" w:rsidP="007C0985">
            <w:pPr>
              <w:jc w:val="both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131199">
              <w:rPr>
                <w:rFonts w:ascii="Candara" w:eastAsia="Times New Roman" w:hAnsi="Candara" w:cs="Arial"/>
                <w:color w:val="000000" w:themeColor="dark1"/>
                <w:kern w:val="24"/>
                <w:sz w:val="20"/>
                <w:szCs w:val="20"/>
                <w:lang w:eastAsia="pt-BR"/>
              </w:rPr>
              <w:t>1.</w:t>
            </w:r>
            <w:r w:rsidRPr="00131199">
              <w:rPr>
                <w:rFonts w:ascii="Candara" w:eastAsia="Times New Roman" w:hAnsi="Candara" w:cs="Arial"/>
                <w:color w:val="000000" w:themeColor="dark1"/>
                <w:kern w:val="24"/>
                <w:sz w:val="12"/>
                <w:szCs w:val="12"/>
                <w:lang w:eastAsia="pt-BR"/>
              </w:rPr>
              <w:t xml:space="preserve">      </w:t>
            </w:r>
            <w:r w:rsidRPr="00131199">
              <w:rPr>
                <w:rFonts w:ascii="Candara" w:eastAsia="Times New Roman" w:hAnsi="Candara" w:cs="Arial"/>
                <w:color w:val="000000" w:themeColor="dark1"/>
                <w:kern w:val="24"/>
                <w:sz w:val="20"/>
                <w:szCs w:val="20"/>
                <w:lang w:eastAsia="pt-BR"/>
              </w:rPr>
              <w:t>Déficits de reciprocidade social-</w:t>
            </w:r>
            <w:proofErr w:type="gramStart"/>
            <w:r w:rsidRPr="00131199">
              <w:rPr>
                <w:rFonts w:ascii="Candara" w:eastAsia="Times New Roman" w:hAnsi="Candara" w:cs="Arial"/>
                <w:color w:val="000000" w:themeColor="dark1"/>
                <w:kern w:val="24"/>
                <w:sz w:val="20"/>
                <w:szCs w:val="20"/>
                <w:lang w:eastAsia="pt-BR"/>
              </w:rPr>
              <w:t>emocional</w:t>
            </w:r>
            <w:proofErr w:type="gramEnd"/>
          </w:p>
        </w:tc>
      </w:tr>
      <w:tr w:rsidR="00183340" w:rsidRPr="00131199" w:rsidTr="007C0985">
        <w:trPr>
          <w:trHeight w:val="457"/>
        </w:trPr>
        <w:tc>
          <w:tcPr>
            <w:tcW w:w="4257" w:type="dxa"/>
            <w:vMerge/>
            <w:hideMark/>
          </w:tcPr>
          <w:p w:rsidR="00183340" w:rsidRPr="00131199" w:rsidRDefault="00183340" w:rsidP="007C0985">
            <w:pPr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</w:p>
        </w:tc>
        <w:tc>
          <w:tcPr>
            <w:tcW w:w="5480" w:type="dxa"/>
            <w:hideMark/>
          </w:tcPr>
          <w:p w:rsidR="00183340" w:rsidRPr="00131199" w:rsidRDefault="00183340" w:rsidP="007C0985">
            <w:pPr>
              <w:jc w:val="both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131199">
              <w:rPr>
                <w:rFonts w:ascii="Candara" w:eastAsia="Times New Roman" w:hAnsi="Candara" w:cs="Arial"/>
                <w:color w:val="000000" w:themeColor="dark1"/>
                <w:kern w:val="24"/>
                <w:sz w:val="20"/>
                <w:szCs w:val="20"/>
                <w:lang w:eastAsia="pt-BR"/>
              </w:rPr>
              <w:t>2.</w:t>
            </w:r>
            <w:r w:rsidRPr="00131199">
              <w:rPr>
                <w:rFonts w:ascii="Candara" w:eastAsia="Times New Roman" w:hAnsi="Candara" w:cs="Arial"/>
                <w:color w:val="000000" w:themeColor="dark1"/>
                <w:kern w:val="24"/>
                <w:sz w:val="12"/>
                <w:szCs w:val="12"/>
                <w:lang w:eastAsia="pt-BR"/>
              </w:rPr>
              <w:t xml:space="preserve">      </w:t>
            </w:r>
            <w:r w:rsidRPr="00131199">
              <w:rPr>
                <w:rFonts w:ascii="Candara" w:eastAsia="Times New Roman" w:hAnsi="Candara" w:cs="Arial"/>
                <w:color w:val="000000" w:themeColor="dark1"/>
                <w:kern w:val="24"/>
                <w:sz w:val="20"/>
                <w:szCs w:val="20"/>
                <w:lang w:eastAsia="pt-BR"/>
              </w:rPr>
              <w:t xml:space="preserve">Déficits de comportamentos comunicativos não </w:t>
            </w:r>
            <w:proofErr w:type="gramStart"/>
            <w:r w:rsidRPr="00131199">
              <w:rPr>
                <w:rFonts w:ascii="Candara" w:eastAsia="Times New Roman" w:hAnsi="Candara" w:cs="Arial"/>
                <w:color w:val="000000" w:themeColor="dark1"/>
                <w:kern w:val="24"/>
                <w:sz w:val="20"/>
                <w:szCs w:val="20"/>
                <w:lang w:eastAsia="pt-BR"/>
              </w:rPr>
              <w:t>verbais</w:t>
            </w:r>
            <w:proofErr w:type="gramEnd"/>
            <w:r w:rsidRPr="00131199">
              <w:rPr>
                <w:rFonts w:ascii="Candara" w:eastAsia="Times New Roman" w:hAnsi="Candara" w:cs="Arial"/>
                <w:color w:val="000000" w:themeColor="dark1"/>
                <w:kern w:val="24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183340" w:rsidRPr="00131199" w:rsidTr="007C0985">
        <w:trPr>
          <w:trHeight w:val="711"/>
        </w:trPr>
        <w:tc>
          <w:tcPr>
            <w:tcW w:w="4257" w:type="dxa"/>
            <w:vMerge/>
            <w:hideMark/>
          </w:tcPr>
          <w:p w:rsidR="00183340" w:rsidRPr="00131199" w:rsidRDefault="00183340" w:rsidP="007C0985">
            <w:pPr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</w:p>
        </w:tc>
        <w:tc>
          <w:tcPr>
            <w:tcW w:w="5480" w:type="dxa"/>
            <w:hideMark/>
          </w:tcPr>
          <w:p w:rsidR="00183340" w:rsidRPr="00131199" w:rsidRDefault="00183340" w:rsidP="007C0985">
            <w:pPr>
              <w:jc w:val="both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131199">
              <w:rPr>
                <w:rFonts w:ascii="Candara" w:eastAsia="Times New Roman" w:hAnsi="Candara" w:cs="Arial"/>
                <w:color w:val="000000" w:themeColor="dark1"/>
                <w:kern w:val="24"/>
                <w:sz w:val="20"/>
                <w:szCs w:val="20"/>
                <w:lang w:eastAsia="pt-BR"/>
              </w:rPr>
              <w:t>3.</w:t>
            </w:r>
            <w:r w:rsidRPr="00131199">
              <w:rPr>
                <w:rFonts w:ascii="Candara" w:eastAsia="Times New Roman" w:hAnsi="Candara" w:cs="Arial"/>
                <w:color w:val="000000" w:themeColor="dark1"/>
                <w:kern w:val="24"/>
                <w:sz w:val="12"/>
                <w:szCs w:val="12"/>
                <w:lang w:eastAsia="pt-BR"/>
              </w:rPr>
              <w:t xml:space="preserve">  </w:t>
            </w:r>
            <w:r w:rsidRPr="00131199">
              <w:rPr>
                <w:rFonts w:ascii="Candara" w:eastAsia="Times New Roman" w:hAnsi="Candara" w:cs="Arial"/>
                <w:color w:val="000000" w:themeColor="dark1"/>
                <w:kern w:val="24"/>
                <w:sz w:val="20"/>
                <w:szCs w:val="20"/>
                <w:lang w:eastAsia="pt-BR"/>
              </w:rPr>
              <w:t>Déficits no desenvolvimento, manutenção e compreensão das relações.</w:t>
            </w:r>
          </w:p>
        </w:tc>
      </w:tr>
      <w:tr w:rsidR="00183340" w:rsidRPr="00131199" w:rsidTr="007C0985">
        <w:trPr>
          <w:trHeight w:val="711"/>
        </w:trPr>
        <w:tc>
          <w:tcPr>
            <w:tcW w:w="4257" w:type="dxa"/>
            <w:vMerge w:val="restart"/>
            <w:hideMark/>
          </w:tcPr>
          <w:p w:rsidR="00183340" w:rsidRPr="00131199" w:rsidRDefault="00183340" w:rsidP="007C0985">
            <w:pPr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131199">
              <w:rPr>
                <w:rFonts w:ascii="Candara" w:eastAsia="Times New Roman" w:hAnsi="Candara" w:cs="Arial"/>
                <w:color w:val="000000" w:themeColor="dark1"/>
                <w:kern w:val="24"/>
                <w:sz w:val="20"/>
                <w:szCs w:val="20"/>
                <w:lang w:eastAsia="pt-BR"/>
              </w:rPr>
              <w:t>B.</w:t>
            </w:r>
            <w:r w:rsidRPr="00131199">
              <w:rPr>
                <w:rFonts w:ascii="Candara" w:eastAsia="Times New Roman" w:hAnsi="Candara" w:cs="Arial"/>
                <w:color w:val="000000" w:themeColor="dark1"/>
                <w:kern w:val="24"/>
                <w:sz w:val="12"/>
                <w:szCs w:val="12"/>
                <w:lang w:eastAsia="pt-BR"/>
              </w:rPr>
              <w:t xml:space="preserve">    </w:t>
            </w:r>
            <w:r w:rsidRPr="00131199">
              <w:rPr>
                <w:rFonts w:ascii="Candara" w:eastAsia="Times New Roman" w:hAnsi="Candara" w:cs="Arial"/>
                <w:color w:val="000000" w:themeColor="dark1"/>
                <w:kern w:val="24"/>
                <w:sz w:val="20"/>
                <w:szCs w:val="20"/>
                <w:lang w:eastAsia="pt-BR"/>
              </w:rPr>
              <w:t>Padrões restritos e/ou repetitivos de comportamento, interesses ou atividades:</w:t>
            </w:r>
          </w:p>
        </w:tc>
        <w:tc>
          <w:tcPr>
            <w:tcW w:w="5480" w:type="dxa"/>
            <w:hideMark/>
          </w:tcPr>
          <w:p w:rsidR="00183340" w:rsidRPr="00131199" w:rsidRDefault="00183340" w:rsidP="007C0985">
            <w:pPr>
              <w:jc w:val="both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131199">
              <w:rPr>
                <w:rFonts w:ascii="Candara" w:eastAsia="Times New Roman" w:hAnsi="Candara" w:cs="Arial"/>
                <w:color w:val="000000" w:themeColor="dark1"/>
                <w:kern w:val="24"/>
                <w:sz w:val="20"/>
                <w:szCs w:val="20"/>
                <w:lang w:eastAsia="pt-BR"/>
              </w:rPr>
              <w:t>1.</w:t>
            </w:r>
            <w:r w:rsidRPr="00131199">
              <w:rPr>
                <w:rFonts w:ascii="Candara" w:eastAsia="Times New Roman" w:hAnsi="Candara" w:cs="Arial"/>
                <w:color w:val="000000" w:themeColor="dark1"/>
                <w:kern w:val="24"/>
                <w:sz w:val="12"/>
                <w:szCs w:val="12"/>
                <w:lang w:eastAsia="pt-BR"/>
              </w:rPr>
              <w:t xml:space="preserve">      </w:t>
            </w:r>
            <w:r w:rsidRPr="00131199">
              <w:rPr>
                <w:rFonts w:ascii="Candara" w:eastAsia="Times New Roman" w:hAnsi="Candara" w:cs="Arial"/>
                <w:color w:val="000000" w:themeColor="dark1"/>
                <w:kern w:val="24"/>
                <w:sz w:val="20"/>
                <w:szCs w:val="20"/>
                <w:lang w:eastAsia="pt-BR"/>
              </w:rPr>
              <w:t>Movimentos repetitivos ou estereotipias motoras</w:t>
            </w:r>
            <w:proofErr w:type="gramStart"/>
            <w:r w:rsidRPr="00131199">
              <w:rPr>
                <w:rFonts w:ascii="Candara" w:eastAsia="Times New Roman" w:hAnsi="Candara" w:cs="Arial"/>
                <w:color w:val="000000" w:themeColor="dark1"/>
                <w:kern w:val="24"/>
                <w:sz w:val="20"/>
                <w:szCs w:val="20"/>
                <w:lang w:eastAsia="pt-BR"/>
              </w:rPr>
              <w:t>, uso</w:t>
            </w:r>
            <w:proofErr w:type="gramEnd"/>
            <w:r w:rsidRPr="00131199">
              <w:rPr>
                <w:rFonts w:ascii="Candara" w:eastAsia="Times New Roman" w:hAnsi="Candara" w:cs="Arial"/>
                <w:color w:val="000000" w:themeColor="dark1"/>
                <w:kern w:val="24"/>
                <w:sz w:val="20"/>
                <w:szCs w:val="20"/>
                <w:lang w:eastAsia="pt-BR"/>
              </w:rPr>
              <w:t xml:space="preserve"> de objetos, ou da fala</w:t>
            </w:r>
          </w:p>
        </w:tc>
      </w:tr>
      <w:tr w:rsidR="00183340" w:rsidRPr="00131199" w:rsidTr="007C0985">
        <w:trPr>
          <w:trHeight w:val="1000"/>
        </w:trPr>
        <w:tc>
          <w:tcPr>
            <w:tcW w:w="4257" w:type="dxa"/>
            <w:vMerge/>
            <w:hideMark/>
          </w:tcPr>
          <w:p w:rsidR="00183340" w:rsidRPr="00131199" w:rsidRDefault="00183340" w:rsidP="007C0985">
            <w:pPr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</w:p>
        </w:tc>
        <w:tc>
          <w:tcPr>
            <w:tcW w:w="5480" w:type="dxa"/>
            <w:hideMark/>
          </w:tcPr>
          <w:p w:rsidR="00183340" w:rsidRPr="00131199" w:rsidRDefault="00183340" w:rsidP="007C0985">
            <w:pPr>
              <w:jc w:val="both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131199">
              <w:rPr>
                <w:rFonts w:ascii="Candara" w:eastAsia="Times New Roman" w:hAnsi="Candara" w:cs="Arial"/>
                <w:color w:val="000000" w:themeColor="dark1"/>
                <w:kern w:val="24"/>
                <w:sz w:val="20"/>
                <w:szCs w:val="20"/>
                <w:lang w:eastAsia="pt-BR"/>
              </w:rPr>
              <w:t>2.</w:t>
            </w:r>
            <w:r w:rsidRPr="00131199">
              <w:rPr>
                <w:rFonts w:ascii="Candara" w:eastAsia="Times New Roman" w:hAnsi="Candara" w:cs="Arial"/>
                <w:color w:val="000000" w:themeColor="dark1"/>
                <w:kern w:val="24"/>
                <w:sz w:val="12"/>
                <w:szCs w:val="12"/>
                <w:lang w:eastAsia="pt-BR"/>
              </w:rPr>
              <w:t xml:space="preserve">      </w:t>
            </w:r>
            <w:r w:rsidRPr="00131199">
              <w:rPr>
                <w:rFonts w:ascii="Candara" w:eastAsia="Times New Roman" w:hAnsi="Candara" w:cs="Arial"/>
                <w:color w:val="000000" w:themeColor="dark1"/>
                <w:kern w:val="24"/>
                <w:sz w:val="20"/>
                <w:szCs w:val="20"/>
                <w:lang w:eastAsia="pt-BR"/>
              </w:rPr>
              <w:t xml:space="preserve">Insistência em fazer as mesmas coisas, não adesão a rotinas, ou padrões de comportamento ritualizado verbal ou não </w:t>
            </w:r>
            <w:proofErr w:type="gramStart"/>
            <w:r w:rsidRPr="00131199">
              <w:rPr>
                <w:rFonts w:ascii="Candara" w:eastAsia="Times New Roman" w:hAnsi="Candara" w:cs="Arial"/>
                <w:color w:val="000000" w:themeColor="dark1"/>
                <w:kern w:val="24"/>
                <w:sz w:val="20"/>
                <w:szCs w:val="20"/>
                <w:lang w:eastAsia="pt-BR"/>
              </w:rPr>
              <w:t>verbal</w:t>
            </w:r>
            <w:proofErr w:type="gramEnd"/>
          </w:p>
        </w:tc>
      </w:tr>
      <w:tr w:rsidR="00183340" w:rsidRPr="00131199" w:rsidTr="007C0985">
        <w:trPr>
          <w:trHeight w:val="711"/>
        </w:trPr>
        <w:tc>
          <w:tcPr>
            <w:tcW w:w="4257" w:type="dxa"/>
            <w:vMerge/>
            <w:hideMark/>
          </w:tcPr>
          <w:p w:rsidR="00183340" w:rsidRPr="00131199" w:rsidRDefault="00183340" w:rsidP="007C0985">
            <w:pPr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</w:p>
        </w:tc>
        <w:tc>
          <w:tcPr>
            <w:tcW w:w="5480" w:type="dxa"/>
            <w:hideMark/>
          </w:tcPr>
          <w:p w:rsidR="00183340" w:rsidRPr="00131199" w:rsidRDefault="00183340" w:rsidP="007C0985">
            <w:pPr>
              <w:jc w:val="both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131199">
              <w:rPr>
                <w:rFonts w:ascii="Candara" w:eastAsia="Times New Roman" w:hAnsi="Candara" w:cs="Arial"/>
                <w:color w:val="000000" w:themeColor="dark1"/>
                <w:kern w:val="24"/>
                <w:sz w:val="20"/>
                <w:szCs w:val="20"/>
                <w:lang w:eastAsia="pt-BR"/>
              </w:rPr>
              <w:t>3.</w:t>
            </w:r>
            <w:r w:rsidRPr="00131199">
              <w:rPr>
                <w:rFonts w:ascii="Candara" w:eastAsia="Times New Roman" w:hAnsi="Candara" w:cs="Arial"/>
                <w:color w:val="000000" w:themeColor="dark1"/>
                <w:kern w:val="24"/>
                <w:sz w:val="12"/>
                <w:szCs w:val="12"/>
                <w:lang w:eastAsia="pt-BR"/>
              </w:rPr>
              <w:t xml:space="preserve">      </w:t>
            </w:r>
            <w:r w:rsidRPr="00131199">
              <w:rPr>
                <w:rFonts w:ascii="Candara" w:eastAsia="Times New Roman" w:hAnsi="Candara" w:cs="Arial"/>
                <w:color w:val="000000" w:themeColor="dark1"/>
                <w:kern w:val="24"/>
                <w:sz w:val="20"/>
                <w:szCs w:val="20"/>
                <w:lang w:eastAsia="pt-BR"/>
              </w:rPr>
              <w:t xml:space="preserve">Altamente restritos, fixados a interesses que são anormais em intensidade ou </w:t>
            </w:r>
            <w:proofErr w:type="gramStart"/>
            <w:r w:rsidRPr="00131199">
              <w:rPr>
                <w:rFonts w:ascii="Candara" w:eastAsia="Times New Roman" w:hAnsi="Candara" w:cs="Arial"/>
                <w:color w:val="000000" w:themeColor="dark1"/>
                <w:kern w:val="24"/>
                <w:sz w:val="20"/>
                <w:szCs w:val="20"/>
                <w:lang w:eastAsia="pt-BR"/>
              </w:rPr>
              <w:t>foco</w:t>
            </w:r>
            <w:proofErr w:type="gramEnd"/>
            <w:r w:rsidRPr="00131199">
              <w:rPr>
                <w:rFonts w:ascii="Candara" w:eastAsia="Times New Roman" w:hAnsi="Candara" w:cs="Arial"/>
                <w:color w:val="000000" w:themeColor="dark1"/>
                <w:kern w:val="24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183340" w:rsidRPr="00131199" w:rsidTr="007C0985">
        <w:trPr>
          <w:trHeight w:val="711"/>
        </w:trPr>
        <w:tc>
          <w:tcPr>
            <w:tcW w:w="4257" w:type="dxa"/>
            <w:vMerge/>
            <w:hideMark/>
          </w:tcPr>
          <w:p w:rsidR="00183340" w:rsidRPr="00131199" w:rsidRDefault="00183340" w:rsidP="007C0985">
            <w:pPr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</w:p>
        </w:tc>
        <w:tc>
          <w:tcPr>
            <w:tcW w:w="5480" w:type="dxa"/>
            <w:hideMark/>
          </w:tcPr>
          <w:p w:rsidR="00183340" w:rsidRPr="00131199" w:rsidRDefault="00183340" w:rsidP="007C0985">
            <w:pPr>
              <w:jc w:val="both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131199">
              <w:rPr>
                <w:rFonts w:ascii="Candara" w:eastAsia="Times New Roman" w:hAnsi="Candara" w:cs="Arial"/>
                <w:color w:val="000000" w:themeColor="dark1"/>
                <w:kern w:val="24"/>
                <w:sz w:val="20"/>
                <w:szCs w:val="20"/>
                <w:lang w:eastAsia="pt-BR"/>
              </w:rPr>
              <w:t>4.</w:t>
            </w:r>
            <w:r w:rsidRPr="00131199">
              <w:rPr>
                <w:rFonts w:ascii="Candara" w:eastAsia="Times New Roman" w:hAnsi="Candara" w:cs="Arial"/>
                <w:color w:val="000000" w:themeColor="dark1"/>
                <w:kern w:val="24"/>
                <w:sz w:val="12"/>
                <w:szCs w:val="12"/>
                <w:lang w:eastAsia="pt-BR"/>
              </w:rPr>
              <w:t xml:space="preserve">      </w:t>
            </w:r>
            <w:proofErr w:type="spellStart"/>
            <w:r w:rsidRPr="00131199">
              <w:rPr>
                <w:rFonts w:ascii="Candara" w:eastAsia="Times New Roman" w:hAnsi="Candara" w:cs="Arial"/>
                <w:color w:val="000000" w:themeColor="dark1"/>
                <w:kern w:val="24"/>
                <w:sz w:val="20"/>
                <w:szCs w:val="20"/>
                <w:lang w:eastAsia="pt-BR"/>
              </w:rPr>
              <w:t>Hiper</w:t>
            </w:r>
            <w:proofErr w:type="spellEnd"/>
            <w:r w:rsidRPr="00131199">
              <w:rPr>
                <w:rFonts w:ascii="Candara" w:eastAsia="Times New Roman" w:hAnsi="Candara" w:cs="Arial"/>
                <w:color w:val="000000" w:themeColor="dark1"/>
                <w:kern w:val="24"/>
                <w:sz w:val="20"/>
                <w:szCs w:val="20"/>
                <w:lang w:eastAsia="pt-BR"/>
              </w:rPr>
              <w:t xml:space="preserve"> ou </w:t>
            </w:r>
            <w:proofErr w:type="spellStart"/>
            <w:r w:rsidRPr="00131199">
              <w:rPr>
                <w:rFonts w:ascii="Candara" w:eastAsia="Times New Roman" w:hAnsi="Candara" w:cs="Arial"/>
                <w:color w:val="000000" w:themeColor="dark1"/>
                <w:kern w:val="24"/>
                <w:sz w:val="20"/>
                <w:szCs w:val="20"/>
                <w:lang w:eastAsia="pt-BR"/>
              </w:rPr>
              <w:t>hiporreatividade</w:t>
            </w:r>
            <w:proofErr w:type="spellEnd"/>
            <w:r w:rsidRPr="00131199">
              <w:rPr>
                <w:rFonts w:ascii="Candara" w:eastAsia="Times New Roman" w:hAnsi="Candara" w:cs="Arial"/>
                <w:color w:val="000000" w:themeColor="dark1"/>
                <w:kern w:val="24"/>
                <w:sz w:val="20"/>
                <w:szCs w:val="20"/>
                <w:lang w:eastAsia="pt-BR"/>
              </w:rPr>
              <w:t xml:space="preserve"> a estímulos sensoriais ou interesse incomum em aspectos sensoriais do ambiente.</w:t>
            </w:r>
          </w:p>
        </w:tc>
      </w:tr>
      <w:tr w:rsidR="00183340" w:rsidRPr="00131199" w:rsidTr="007C0985">
        <w:trPr>
          <w:trHeight w:val="344"/>
        </w:trPr>
        <w:tc>
          <w:tcPr>
            <w:tcW w:w="9737" w:type="dxa"/>
            <w:gridSpan w:val="2"/>
            <w:hideMark/>
          </w:tcPr>
          <w:p w:rsidR="00183340" w:rsidRPr="00131199" w:rsidRDefault="00183340" w:rsidP="007C0985">
            <w:pPr>
              <w:spacing w:line="344" w:lineRule="atLeast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131199">
              <w:rPr>
                <w:rFonts w:ascii="Candara" w:eastAsia="Times New Roman" w:hAnsi="Candara" w:cs="Arial"/>
                <w:color w:val="000000" w:themeColor="dark1"/>
                <w:kern w:val="24"/>
                <w:sz w:val="20"/>
                <w:szCs w:val="20"/>
                <w:lang w:eastAsia="pt-BR"/>
              </w:rPr>
              <w:t>C.</w:t>
            </w:r>
            <w:r w:rsidRPr="00131199">
              <w:rPr>
                <w:rFonts w:ascii="Candara" w:eastAsia="Times New Roman" w:hAnsi="Candara" w:cs="Arial"/>
                <w:color w:val="000000" w:themeColor="dark1"/>
                <w:kern w:val="24"/>
                <w:sz w:val="12"/>
                <w:szCs w:val="12"/>
                <w:lang w:eastAsia="pt-BR"/>
              </w:rPr>
              <w:t xml:space="preserve">    </w:t>
            </w:r>
            <w:r w:rsidRPr="00131199">
              <w:rPr>
                <w:rFonts w:ascii="Candara" w:eastAsia="Times New Roman" w:hAnsi="Candara" w:cs="Arial"/>
                <w:color w:val="000000" w:themeColor="dark1"/>
                <w:kern w:val="24"/>
                <w:sz w:val="20"/>
                <w:szCs w:val="20"/>
                <w:lang w:eastAsia="pt-BR"/>
              </w:rPr>
              <w:t>Os sintomas devem estar presentes no período inicial de desenvolvimento:</w:t>
            </w:r>
          </w:p>
        </w:tc>
      </w:tr>
      <w:tr w:rsidR="00183340" w:rsidRPr="00131199" w:rsidTr="007C0985">
        <w:trPr>
          <w:trHeight w:val="738"/>
        </w:trPr>
        <w:tc>
          <w:tcPr>
            <w:tcW w:w="9737" w:type="dxa"/>
            <w:gridSpan w:val="2"/>
            <w:hideMark/>
          </w:tcPr>
          <w:p w:rsidR="00183340" w:rsidRPr="00131199" w:rsidRDefault="00183340" w:rsidP="007C0985">
            <w:pPr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proofErr w:type="gramStart"/>
            <w:r w:rsidRPr="00131199">
              <w:rPr>
                <w:rFonts w:ascii="Candara" w:eastAsia="Times New Roman" w:hAnsi="Candara" w:cs="Arial"/>
                <w:color w:val="000000" w:themeColor="dark1"/>
                <w:kern w:val="24"/>
                <w:sz w:val="24"/>
                <w:szCs w:val="24"/>
                <w:lang w:eastAsia="pt-BR"/>
              </w:rPr>
              <w:t>D.</w:t>
            </w:r>
            <w:proofErr w:type="gramEnd"/>
            <w:r w:rsidRPr="00131199">
              <w:rPr>
                <w:rFonts w:ascii="Candara" w:eastAsia="Times New Roman" w:hAnsi="Candara" w:cs="Arial"/>
                <w:color w:val="000000" w:themeColor="dark1"/>
                <w:kern w:val="24"/>
                <w:sz w:val="12"/>
                <w:szCs w:val="12"/>
                <w:lang w:eastAsia="pt-BR"/>
              </w:rPr>
              <w:t xml:space="preserve">   </w:t>
            </w:r>
            <w:r w:rsidRPr="00131199">
              <w:rPr>
                <w:rFonts w:ascii="Candara" w:eastAsia="Times New Roman" w:hAnsi="Candara" w:cs="Arial"/>
                <w:color w:val="000000" w:themeColor="dark1"/>
                <w:kern w:val="24"/>
                <w:sz w:val="20"/>
                <w:szCs w:val="20"/>
                <w:lang w:eastAsia="pt-BR"/>
              </w:rPr>
              <w:t>Os sintomas causam prejuízo clinicamente significativo nas áreas social, ocupacional ou outras áreas importantes de funcionamento atual do paciente:</w:t>
            </w:r>
          </w:p>
        </w:tc>
      </w:tr>
      <w:tr w:rsidR="00183340" w:rsidRPr="00131199" w:rsidTr="007C0985">
        <w:trPr>
          <w:trHeight w:val="672"/>
        </w:trPr>
        <w:tc>
          <w:tcPr>
            <w:tcW w:w="9737" w:type="dxa"/>
            <w:gridSpan w:val="2"/>
            <w:hideMark/>
          </w:tcPr>
          <w:p w:rsidR="00183340" w:rsidRPr="00131199" w:rsidRDefault="00183340" w:rsidP="007C0985">
            <w:pPr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131199">
              <w:rPr>
                <w:rFonts w:ascii="Candara" w:eastAsia="Times New Roman" w:hAnsi="Candara" w:cs="Arial"/>
                <w:color w:val="000000" w:themeColor="dark1"/>
                <w:kern w:val="24"/>
                <w:sz w:val="20"/>
                <w:szCs w:val="20"/>
                <w:lang w:eastAsia="pt-BR"/>
              </w:rPr>
              <w:t>E.</w:t>
            </w:r>
            <w:r w:rsidRPr="00131199">
              <w:rPr>
                <w:rFonts w:ascii="Candara" w:eastAsia="Times New Roman" w:hAnsi="Candara" w:cs="Arial"/>
                <w:color w:val="000000" w:themeColor="dark1"/>
                <w:kern w:val="24"/>
                <w:sz w:val="12"/>
                <w:szCs w:val="12"/>
                <w:lang w:eastAsia="pt-BR"/>
              </w:rPr>
              <w:t xml:space="preserve">    </w:t>
            </w:r>
            <w:r w:rsidRPr="00131199">
              <w:rPr>
                <w:rFonts w:ascii="Candara" w:eastAsia="Times New Roman" w:hAnsi="Candara" w:cs="Arial"/>
                <w:color w:val="000000" w:themeColor="dark1"/>
                <w:kern w:val="24"/>
                <w:sz w:val="20"/>
                <w:szCs w:val="20"/>
                <w:lang w:eastAsia="pt-BR"/>
              </w:rPr>
              <w:t xml:space="preserve">Estes distúrbios não são </w:t>
            </w:r>
            <w:proofErr w:type="gramStart"/>
            <w:r w:rsidRPr="00131199">
              <w:rPr>
                <w:rFonts w:ascii="Candara" w:eastAsia="Times New Roman" w:hAnsi="Candara" w:cs="Arial"/>
                <w:color w:val="000000" w:themeColor="dark1"/>
                <w:kern w:val="24"/>
                <w:sz w:val="20"/>
                <w:szCs w:val="20"/>
                <w:lang w:eastAsia="pt-BR"/>
              </w:rPr>
              <w:t>melhor</w:t>
            </w:r>
            <w:proofErr w:type="gramEnd"/>
            <w:r w:rsidRPr="00131199">
              <w:rPr>
                <w:rFonts w:ascii="Candara" w:eastAsia="Times New Roman" w:hAnsi="Candara" w:cs="Arial"/>
                <w:color w:val="000000" w:themeColor="dark1"/>
                <w:kern w:val="24"/>
                <w:sz w:val="20"/>
                <w:szCs w:val="20"/>
                <w:lang w:eastAsia="pt-BR"/>
              </w:rPr>
              <w:t xml:space="preserve"> explicados por deficiência intelectual (transtorno do desenvolvimento intelectual) ou atraso no desenvolvimento global</w:t>
            </w:r>
          </w:p>
        </w:tc>
      </w:tr>
    </w:tbl>
    <w:p w:rsidR="00183340" w:rsidRDefault="00183340" w:rsidP="00183340">
      <w:pPr>
        <w:jc w:val="center"/>
      </w:pPr>
      <w:r w:rsidRPr="00183340">
        <w:rPr>
          <w:b/>
        </w:rPr>
        <w:t>FONTE</w:t>
      </w:r>
      <w:r>
        <w:t>: DSM-V</w:t>
      </w:r>
    </w:p>
    <w:p w:rsidR="00183340" w:rsidRDefault="00183340" w:rsidP="00183340">
      <w:pPr>
        <w:jc w:val="center"/>
      </w:pPr>
    </w:p>
    <w:p w:rsidR="00183340" w:rsidRPr="00E3690F" w:rsidRDefault="00183340" w:rsidP="00183340">
      <w:pPr>
        <w:spacing w:line="360" w:lineRule="auto"/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29718781" wp14:editId="0368166A">
            <wp:extent cx="3427255" cy="1752018"/>
            <wp:effectExtent l="19050" t="0" r="174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/>
                    <a:srcRect l="24800" t="19033" r="50741" b="57704"/>
                    <a:stretch/>
                  </pic:blipFill>
                  <pic:spPr bwMode="auto">
                    <a:xfrm>
                      <a:off x="0" y="0"/>
                      <a:ext cx="3429000" cy="1752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83340" w:rsidRDefault="00183340" w:rsidP="00183340">
      <w:pPr>
        <w:tabs>
          <w:tab w:val="left" w:pos="2562"/>
        </w:tabs>
        <w:spacing w:after="0" w:line="360" w:lineRule="auto"/>
        <w:jc w:val="center"/>
        <w:rPr>
          <w:rFonts w:ascii="Times New Roman" w:hAnsi="Times New Roman" w:cs="Times New Roman"/>
          <w:b/>
          <w:noProof/>
          <w:sz w:val="20"/>
          <w:szCs w:val="24"/>
          <w:lang w:eastAsia="pt-BR"/>
        </w:rPr>
      </w:pPr>
      <w:r>
        <w:rPr>
          <w:rFonts w:ascii="Arial" w:hAnsi="Arial" w:cs="Arial"/>
          <w:noProof/>
          <w:color w:val="FF000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526031</wp:posOffset>
                </wp:positionH>
                <wp:positionV relativeFrom="paragraph">
                  <wp:posOffset>361418</wp:posOffset>
                </wp:positionV>
                <wp:extent cx="4724400" cy="494665"/>
                <wp:effectExtent l="0" t="0" r="0" b="0"/>
                <wp:wrapNone/>
                <wp:docPr id="307" name="Caixa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494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3340" w:rsidRPr="005E7CB7" w:rsidRDefault="00183340" w:rsidP="0018334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5E7CB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Genótipo homozigoto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usual</w:t>
                            </w:r>
                            <w:r w:rsidRPr="005E7CB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– TT (1, 2, 4, 7 e 8); Genótipo homozigoto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mutante</w:t>
                            </w:r>
                            <w:r w:rsidRPr="005E7CB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– CC (6); Genótipo heterozigoto – TC (</w:t>
                            </w:r>
                            <w:proofErr w:type="gramStart"/>
                            <w:r w:rsidRPr="005E7CB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3</w:t>
                            </w:r>
                            <w:proofErr w:type="gramEnd"/>
                            <w:r w:rsidRPr="005E7CB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e 5)</w:t>
                            </w:r>
                          </w:p>
                          <w:p w:rsidR="00183340" w:rsidRPr="005E7CB7" w:rsidRDefault="00183340" w:rsidP="0018334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83340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Fonte</w:t>
                            </w:r>
                            <w:r w:rsidRPr="005E7CB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: SHAO </w:t>
                            </w:r>
                            <w:proofErr w:type="gramStart"/>
                            <w:r w:rsidRPr="005E7CB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et</w:t>
                            </w:r>
                            <w:proofErr w:type="gramEnd"/>
                            <w:r w:rsidRPr="005E7CB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al, 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07" o:spid="_x0000_s1026" type="#_x0000_t202" style="position:absolute;left:0;text-align:left;margin-left:41.4pt;margin-top:28.45pt;width:372pt;height:38.9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" stroked="f">
                <v:textbox style="mso-fit-shape-to-text:t">
                  <w:txbxContent>
                    <w:p w:rsidR="00183340" w:rsidRPr="005E7CB7" w:rsidRDefault="00183340" w:rsidP="0018334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5E7CB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Genótipo homozigoto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usual</w:t>
                      </w:r>
                      <w:r w:rsidRPr="005E7CB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– TT (1, 2, 4, 7 e 8); Genótipo homozigoto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mutante</w:t>
                      </w:r>
                      <w:r w:rsidRPr="005E7CB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– CC (6); Genótipo heterozigoto – TC (</w:t>
                      </w:r>
                      <w:proofErr w:type="gramStart"/>
                      <w:r w:rsidRPr="005E7CB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3</w:t>
                      </w:r>
                      <w:proofErr w:type="gramEnd"/>
                      <w:r w:rsidRPr="005E7CB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e 5)</w:t>
                      </w:r>
                    </w:p>
                    <w:p w:rsidR="00183340" w:rsidRPr="005E7CB7" w:rsidRDefault="00183340" w:rsidP="0018334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183340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Fonte</w:t>
                      </w:r>
                      <w:r w:rsidRPr="005E7CB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: SHAO </w:t>
                      </w:r>
                      <w:proofErr w:type="gramStart"/>
                      <w:r w:rsidRPr="005E7CB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et</w:t>
                      </w:r>
                      <w:proofErr w:type="gramEnd"/>
                      <w:r w:rsidRPr="005E7CB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al, 2014</w:t>
                      </w:r>
                    </w:p>
                  </w:txbxContent>
                </v:textbox>
              </v:shape>
            </w:pict>
          </mc:Fallback>
        </mc:AlternateContent>
      </w:r>
      <w:r w:rsidRPr="007E0E1C">
        <w:rPr>
          <w:rFonts w:ascii="Times New Roman" w:hAnsi="Times New Roman" w:cs="Times New Roman"/>
          <w:b/>
          <w:noProof/>
          <w:sz w:val="20"/>
          <w:szCs w:val="24"/>
          <w:lang w:eastAsia="pt-BR"/>
        </w:rPr>
        <w:t>Figura 1: Fragmentos de DNA observados na amplificação da PCR e digestão</w:t>
      </w:r>
    </w:p>
    <w:p w:rsidR="00183340" w:rsidRDefault="00183340" w:rsidP="00183340">
      <w:pPr>
        <w:tabs>
          <w:tab w:val="left" w:pos="2562"/>
        </w:tabs>
        <w:spacing w:after="0" w:line="360" w:lineRule="auto"/>
        <w:jc w:val="center"/>
        <w:rPr>
          <w:rFonts w:ascii="Times New Roman" w:hAnsi="Times New Roman" w:cs="Times New Roman"/>
          <w:b/>
          <w:noProof/>
          <w:sz w:val="20"/>
          <w:szCs w:val="24"/>
          <w:lang w:eastAsia="pt-BR"/>
        </w:rPr>
      </w:pPr>
      <w:r w:rsidRPr="007E0E1C">
        <w:rPr>
          <w:rFonts w:ascii="Times New Roman" w:hAnsi="Times New Roman" w:cs="Times New Roman"/>
          <w:b/>
          <w:noProof/>
          <w:sz w:val="20"/>
          <w:szCs w:val="24"/>
          <w:lang w:eastAsia="pt-BR"/>
        </w:rPr>
        <w:t>com a enzima de restrição</w:t>
      </w:r>
    </w:p>
    <w:p w:rsidR="00183340" w:rsidRDefault="00183340" w:rsidP="00183340">
      <w:pPr>
        <w:tabs>
          <w:tab w:val="left" w:pos="2562"/>
        </w:tabs>
        <w:spacing w:after="0" w:line="360" w:lineRule="auto"/>
        <w:jc w:val="both"/>
        <w:rPr>
          <w:rFonts w:ascii="Times New Roman" w:hAnsi="Times New Roman" w:cs="Times New Roman"/>
          <w:b/>
          <w:noProof/>
          <w:sz w:val="20"/>
          <w:szCs w:val="24"/>
          <w:lang w:eastAsia="pt-BR"/>
        </w:rPr>
      </w:pPr>
    </w:p>
    <w:p w:rsidR="00183340" w:rsidRPr="00CC1BF0" w:rsidRDefault="00183340" w:rsidP="00183340">
      <w:pPr>
        <w:tabs>
          <w:tab w:val="left" w:pos="2562"/>
        </w:tabs>
        <w:spacing w:after="0"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eastAsia="pt-BR"/>
        </w:rPr>
      </w:pPr>
    </w:p>
    <w:p w:rsidR="00183340" w:rsidRDefault="00183340" w:rsidP="00183340">
      <w:pPr>
        <w:jc w:val="both"/>
      </w:pPr>
    </w:p>
    <w:p w:rsidR="00183340" w:rsidRDefault="00183340" w:rsidP="00183340">
      <w:pPr>
        <w:jc w:val="both"/>
      </w:pPr>
    </w:p>
    <w:p w:rsidR="00183340" w:rsidRPr="00E2328C" w:rsidRDefault="00183340" w:rsidP="0018334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pt-BR"/>
        </w:rPr>
        <w:lastRenderedPageBreak/>
        <w:drawing>
          <wp:inline distT="0" distB="0" distL="0" distR="0" wp14:anchorId="5566840E" wp14:editId="58E4FE9A">
            <wp:extent cx="1977390" cy="2147570"/>
            <wp:effectExtent l="0" t="0" r="0" b="0"/>
            <wp:docPr id="3" name="Imagem 3" descr="C:\Users\Priscila\Pictures\pc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iscila\Pictures\pc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214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340" w:rsidRPr="002878B1" w:rsidRDefault="00183340" w:rsidP="00183340">
      <w:pPr>
        <w:spacing w:after="0" w:line="360" w:lineRule="auto"/>
        <w:ind w:left="360"/>
        <w:jc w:val="center"/>
        <w:rPr>
          <w:rFonts w:ascii="Times New Roman" w:hAnsi="Times New Roman" w:cs="Times New Roman"/>
          <w:sz w:val="20"/>
        </w:rPr>
      </w:pPr>
      <w:r w:rsidRPr="000F6705">
        <w:rPr>
          <w:rFonts w:ascii="Times New Roman" w:hAnsi="Times New Roman" w:cs="Times New Roman"/>
          <w:b/>
          <w:sz w:val="20"/>
        </w:rPr>
        <w:t xml:space="preserve">Figura 2: </w:t>
      </w:r>
      <w:r w:rsidRPr="000F6705">
        <w:rPr>
          <w:rFonts w:ascii="Times New Roman" w:hAnsi="Times New Roman" w:cs="Times New Roman"/>
          <w:sz w:val="20"/>
        </w:rPr>
        <w:t xml:space="preserve">Eletroforese em gel de </w:t>
      </w:r>
      <w:proofErr w:type="spellStart"/>
      <w:r w:rsidRPr="000F6705">
        <w:rPr>
          <w:rFonts w:ascii="Times New Roman" w:hAnsi="Times New Roman" w:cs="Times New Roman"/>
          <w:sz w:val="20"/>
        </w:rPr>
        <w:t>poliacrilamida</w:t>
      </w:r>
      <w:proofErr w:type="spellEnd"/>
      <w:r w:rsidRPr="000F6705">
        <w:rPr>
          <w:rFonts w:ascii="Times New Roman" w:hAnsi="Times New Roman" w:cs="Times New Roman"/>
          <w:sz w:val="20"/>
        </w:rPr>
        <w:t xml:space="preserve"> corado com nitrato</w:t>
      </w:r>
      <w:r>
        <w:rPr>
          <w:rFonts w:ascii="Times New Roman" w:hAnsi="Times New Roman" w:cs="Times New Roman"/>
          <w:sz w:val="20"/>
        </w:rPr>
        <w:t xml:space="preserve"> de prata</w:t>
      </w:r>
    </w:p>
    <w:p w:rsidR="00183340" w:rsidRDefault="00183340" w:rsidP="00183340">
      <w:pPr>
        <w:spacing w:after="0" w:line="360" w:lineRule="auto"/>
        <w:ind w:left="36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648075" cy="360045"/>
                <wp:effectExtent l="0" t="0" r="9525" b="0"/>
                <wp:wrapNone/>
                <wp:docPr id="6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3340" w:rsidRPr="00017FF4" w:rsidRDefault="00183340" w:rsidP="0018334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C13C1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M (marcador 100pb); Genótipo homozigoto usual – TT (3, 5, 7 e 9); Genótipo heterozigoto – TC (1, 2, 4, 6 e 8</w:t>
                            </w:r>
                            <w:proofErr w:type="gramStart"/>
                            <w:r w:rsidRPr="00C13C1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)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aixa de texto 6" o:spid="_x0000_s1027" type="#_x0000_t202" style="position:absolute;left:0;text-align:left;margin-left:0;margin-top:0;width:287.25pt;height:28.35pt;z-index:251660288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" stroked="f">
                <v:textbox style="mso-fit-shape-to-text:t">
                  <w:txbxContent>
                    <w:p w:rsidR="00183340" w:rsidRPr="00017FF4" w:rsidRDefault="00183340" w:rsidP="0018334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70C0"/>
                          <w:sz w:val="16"/>
                          <w:szCs w:val="16"/>
                        </w:rPr>
                      </w:pPr>
                      <w:r w:rsidRPr="00C13C1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M (marcador 100pb); Genótipo homozigoto usual – TT (3, 5, 7 e 9); Genótipo heterozigoto – TC (1, 2, 4, 6 e 8</w:t>
                      </w:r>
                      <w:proofErr w:type="gramStart"/>
                      <w:r w:rsidRPr="00C13C1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)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183340" w:rsidRDefault="00183340" w:rsidP="00183340">
      <w:pPr>
        <w:spacing w:after="0" w:line="360" w:lineRule="auto"/>
        <w:ind w:left="360"/>
        <w:jc w:val="center"/>
        <w:rPr>
          <w:rFonts w:ascii="Times New Roman" w:hAnsi="Times New Roman" w:cs="Times New Roman"/>
          <w:sz w:val="20"/>
        </w:rPr>
      </w:pPr>
    </w:p>
    <w:p w:rsidR="00183340" w:rsidRDefault="00183340" w:rsidP="00183340">
      <w:pPr>
        <w:jc w:val="both"/>
      </w:pPr>
      <w:bookmarkStart w:id="0" w:name="_GoBack"/>
      <w:bookmarkEnd w:id="0"/>
    </w:p>
    <w:p w:rsidR="00183340" w:rsidRDefault="00183340" w:rsidP="00183340">
      <w:pPr>
        <w:jc w:val="both"/>
      </w:pPr>
    </w:p>
    <w:p w:rsidR="00183340" w:rsidRDefault="00183340"/>
    <w:p w:rsidR="00183340" w:rsidRDefault="00183340"/>
    <w:p w:rsidR="00183340" w:rsidRDefault="00183340"/>
    <w:p w:rsidR="00183340" w:rsidRDefault="00183340"/>
    <w:p w:rsidR="00183340" w:rsidRDefault="00183340"/>
    <w:p w:rsidR="00183340" w:rsidRDefault="00183340"/>
    <w:p w:rsidR="00183340" w:rsidRDefault="00183340"/>
    <w:p w:rsidR="00183340" w:rsidRDefault="00183340"/>
    <w:p w:rsidR="00183340" w:rsidRDefault="00183340"/>
    <w:p w:rsidR="00183340" w:rsidRDefault="00183340"/>
    <w:p w:rsidR="00183340" w:rsidRDefault="00183340"/>
    <w:p w:rsidR="00183340" w:rsidRDefault="00183340"/>
    <w:p w:rsidR="00183340" w:rsidRDefault="00183340"/>
    <w:sectPr w:rsidR="001833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340"/>
    <w:rsid w:val="00183340"/>
    <w:rsid w:val="0026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83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83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33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83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83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33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1273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</dc:creator>
  <cp:lastModifiedBy>Priscila</cp:lastModifiedBy>
  <cp:revision>2</cp:revision>
  <dcterms:created xsi:type="dcterms:W3CDTF">2016-08-18T16:58:00Z</dcterms:created>
  <dcterms:modified xsi:type="dcterms:W3CDTF">2016-08-18T17:06:00Z</dcterms:modified>
</cp:coreProperties>
</file>